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494075F2" w:rsidR="00624A55" w:rsidRPr="00DD43B7" w:rsidRDefault="006C16AD" w:rsidP="00233E6F">
      <w:pPr>
        <w:pStyle w:val="Heading1"/>
        <w:spacing w:before="0"/>
        <w:rPr>
          <w:sz w:val="40"/>
          <w:szCs w:val="38"/>
          <w:lang w:val="en-AU"/>
        </w:rPr>
      </w:pPr>
      <w:r>
        <w:rPr>
          <w:noProof/>
          <w:sz w:val="44"/>
          <w:szCs w:val="30"/>
          <w:lang w:val="en-AU"/>
        </w:rPr>
        <w:drawing>
          <wp:anchor distT="0" distB="0" distL="114300" distR="114300" simplePos="0" relativeHeight="251657216" behindDoc="0" locked="0" layoutInCell="1" allowOverlap="1" wp14:anchorId="4DD3A73C" wp14:editId="1918665B">
            <wp:simplePos x="0" y="0"/>
            <wp:positionH relativeFrom="margin">
              <wp:posOffset>-315595</wp:posOffset>
            </wp:positionH>
            <wp:positionV relativeFrom="paragraph">
              <wp:posOffset>-566420</wp:posOffset>
            </wp:positionV>
            <wp:extent cx="1021080" cy="862637"/>
            <wp:effectExtent l="0" t="0" r="7620" b="0"/>
            <wp:wrapNone/>
            <wp:docPr id="213760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02377" name="Picture 2137602377"/>
                    <pic:cNvPicPr/>
                  </pic:nvPicPr>
                  <pic:blipFill>
                    <a:blip r:embed="rId12">
                      <a:extLst>
                        <a:ext uri="{28A0092B-C50C-407E-A947-70E740481C1C}">
                          <a14:useLocalDpi xmlns:a14="http://schemas.microsoft.com/office/drawing/2010/main" val="0"/>
                        </a:ext>
                      </a:extLst>
                    </a:blip>
                    <a:stretch>
                      <a:fillRect/>
                    </a:stretch>
                  </pic:blipFill>
                  <pic:spPr>
                    <a:xfrm>
                      <a:off x="0" y="0"/>
                      <a:ext cx="1021080" cy="862637"/>
                    </a:xfrm>
                    <a:prstGeom prst="rect">
                      <a:avLst/>
                    </a:prstGeom>
                  </pic:spPr>
                </pic:pic>
              </a:graphicData>
            </a:graphic>
            <wp14:sizeRelH relativeFrom="margin">
              <wp14:pctWidth>0</wp14:pctWidth>
            </wp14:sizeRelH>
            <wp14:sizeRelV relativeFrom="margin">
              <wp14:pctHeight>0</wp14:pctHeight>
            </wp14:sizeRelV>
          </wp:anchor>
        </w:drawing>
      </w:r>
      <w:r w:rsidR="005B2E78"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3F675576" w:rsidR="0021020D" w:rsidRPr="00A5033D" w:rsidRDefault="006C16AD" w:rsidP="00A5033D">
      <w:pPr>
        <w:pStyle w:val="Heading2"/>
        <w:spacing w:after="240"/>
        <w:rPr>
          <w:noProof/>
          <w:sz w:val="28"/>
          <w:szCs w:val="28"/>
        </w:rPr>
      </w:pPr>
      <w:r>
        <w:rPr>
          <w:sz w:val="28"/>
          <w:szCs w:val="28"/>
          <w:lang w:val="en-AU"/>
        </w:rPr>
        <w:t>Flowerdale Primary School</w:t>
      </w:r>
      <w:r w:rsidR="008C5AD4" w:rsidRPr="00BC4C65">
        <w:rPr>
          <w:noProof/>
          <w:sz w:val="28"/>
          <w:szCs w:val="28"/>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3"/>
          <w:footerReference w:type="default" r:id="rId14"/>
          <w:headerReference w:type="first" r:id="rId15"/>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6"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7"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8"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9"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20"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1"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2"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3"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4"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5"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6"/>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7"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8"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9"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30"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1"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16AD"/>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06EC2"/>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ternational@education.vic.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assports.gov.au/getting-passport-how-it-works/documents-you-need/citizenship" TargetMode="External"/><Relationship Id="rId25" Type="http://schemas.openxmlformats.org/officeDocument/2006/relationships/hyperlink" Target="https://www2.education.vic.gov.au/pal/decision-making-responsibilities-students/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school-costs-and-fees" TargetMode="External"/><Relationship Id="rId20" Type="http://schemas.openxmlformats.org/officeDocument/2006/relationships/hyperlink" Target="https://www.allergy.org.au/hp/ascia-plans-action-and-treatment" TargetMode="External"/><Relationship Id="rId29" Type="http://schemas.openxmlformats.org/officeDocument/2006/relationships/hyperlink" Target="https://www2.education.vic.gov.au/pal/school-bus-program/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PAL/informal-carer-statutory-declaration-template.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ducation.vic.gov.au/Pages/schoolsprivacypolicy.aspx" TargetMode="External"/><Relationship Id="rId28" Type="http://schemas.openxmlformats.org/officeDocument/2006/relationships/hyperlink" Target="https://www2.education.vic.gov.au/pal/conveyance-allowance/policy" TargetMode="External"/><Relationship Id="rId10" Type="http://schemas.openxmlformats.org/officeDocument/2006/relationships/footnotes" Target="footnotes.xml"/><Relationship Id="rId19" Type="http://schemas.openxmlformats.org/officeDocument/2006/relationships/hyperlink" Target="http://www.education.vic.gov.au/findaservice" TargetMode="External"/><Relationship Id="rId31" Type="http://schemas.openxmlformats.org/officeDocument/2006/relationships/hyperlink" Target="https://edugate.eduweb.vic.gov.au/Services/bussys/cases21/Forms/Forms/AllIte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asthma.org.au/treatment-diagnosis/asthma-action-plan/" TargetMode="External"/><Relationship Id="rId27" Type="http://schemas.openxmlformats.org/officeDocument/2006/relationships/hyperlink" Target="https://www.vic.gov.au/school-costs-and-fees" TargetMode="External"/><Relationship Id="rId30" Type="http://schemas.openxmlformats.org/officeDocument/2006/relationships/hyperlink" Target="https://www2.education.vic.gov.au/pal/transport-students-disabilities/policy"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purl.org/dc/elements/1.1/"/>
    <ds:schemaRef ds:uri="http://schemas.microsoft.com/office/2006/documentManagement/types"/>
    <ds:schemaRef ds:uri="http://purl.org/dc/terms/"/>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6285</Words>
  <Characters>35830</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Erin Mitchell 2</cp:lastModifiedBy>
  <cp:revision>2</cp:revision>
  <cp:lastPrinted>2023-12-19T14:39:00Z</cp:lastPrinted>
  <dcterms:created xsi:type="dcterms:W3CDTF">2026-04-01T01:01:00Z</dcterms:created>
  <dcterms:modified xsi:type="dcterms:W3CDTF">2026-04-01T01:01:00Z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